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6E27" w14:textId="33998745" w:rsidR="00881CC0" w:rsidRDefault="00E93712" w:rsidP="00881CC0">
      <w:pPr>
        <w:spacing w:after="120"/>
        <w:rPr>
          <w:rFonts w:ascii="Palatino Linotype" w:hAnsi="Palatino Linotype"/>
          <w:iCs/>
          <w:sz w:val="22"/>
          <w:szCs w:val="22"/>
        </w:rPr>
      </w:pPr>
      <w:r>
        <w:rPr>
          <w:noProof/>
        </w:rPr>
        <w:drawing>
          <wp:anchor distT="0" distB="0" distL="114300" distR="114300" simplePos="0" relativeHeight="251659264" behindDoc="0" locked="0" layoutInCell="1" hidden="0" allowOverlap="1" wp14:anchorId="23E72F78" wp14:editId="0DB7CA7E">
            <wp:simplePos x="0" y="0"/>
            <wp:positionH relativeFrom="margin">
              <wp:align>left</wp:align>
            </wp:positionH>
            <wp:positionV relativeFrom="paragraph">
              <wp:posOffset>6680</wp:posOffset>
            </wp:positionV>
            <wp:extent cx="1792800" cy="63720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792800" cy="637200"/>
                    </a:xfrm>
                    <a:prstGeom prst="rect">
                      <a:avLst/>
                    </a:prstGeom>
                    <a:ln/>
                  </pic:spPr>
                </pic:pic>
              </a:graphicData>
            </a:graphic>
            <wp14:sizeRelH relativeFrom="margin">
              <wp14:pctWidth>0</wp14:pctWidth>
            </wp14:sizeRelH>
            <wp14:sizeRelV relativeFrom="margin">
              <wp14:pctHeight>0</wp14:pctHeight>
            </wp14:sizeRelV>
          </wp:anchor>
        </w:drawing>
      </w:r>
    </w:p>
    <w:p w14:paraId="5DCBB2EC" w14:textId="77777777" w:rsidR="003015BE" w:rsidRDefault="003015BE" w:rsidP="00881CC0">
      <w:pPr>
        <w:spacing w:after="120"/>
        <w:rPr>
          <w:rFonts w:ascii="Palatino Linotype" w:hAnsi="Palatino Linotype"/>
          <w:iCs/>
          <w:sz w:val="22"/>
          <w:szCs w:val="22"/>
        </w:rPr>
      </w:pPr>
    </w:p>
    <w:p w14:paraId="7B3D5E25" w14:textId="77777777" w:rsidR="003015BE" w:rsidRDefault="003015BE" w:rsidP="00881CC0">
      <w:pPr>
        <w:spacing w:after="120"/>
        <w:rPr>
          <w:rFonts w:ascii="Palatino Linotype" w:hAnsi="Palatino Linotype"/>
          <w:iCs/>
          <w:sz w:val="22"/>
          <w:szCs w:val="22"/>
        </w:rPr>
      </w:pPr>
    </w:p>
    <w:p w14:paraId="2E669ADD" w14:textId="240EFC1A" w:rsidR="000960A0" w:rsidRDefault="000960A0" w:rsidP="000960A0">
      <w:pPr>
        <w:spacing w:after="120"/>
        <w:jc w:val="center"/>
        <w:rPr>
          <w:rFonts w:ascii="Palatino Linotype" w:eastAsia="Palatino Linotype" w:hAnsi="Palatino Linotype" w:cs="Palatino Linotype"/>
          <w:color w:val="000000"/>
          <w:sz w:val="20"/>
          <w:szCs w:val="20"/>
          <w:u w:val="single"/>
        </w:rPr>
      </w:pPr>
      <w:r w:rsidRPr="000960A0">
        <w:rPr>
          <w:rFonts w:ascii="Palatino Linotype" w:eastAsia="Palatino Linotype" w:hAnsi="Palatino Linotype" w:cs="Palatino Linotype"/>
          <w:color w:val="000000"/>
          <w:sz w:val="20"/>
          <w:szCs w:val="20"/>
          <w:u w:val="single"/>
        </w:rPr>
        <w:t>Comunicato stampa 2</w:t>
      </w:r>
      <w:r w:rsidR="00B07409">
        <w:rPr>
          <w:rFonts w:ascii="Palatino Linotype" w:eastAsia="Palatino Linotype" w:hAnsi="Palatino Linotype" w:cs="Palatino Linotype"/>
          <w:color w:val="000000"/>
          <w:sz w:val="20"/>
          <w:szCs w:val="20"/>
          <w:u w:val="single"/>
        </w:rPr>
        <w:t>9</w:t>
      </w:r>
      <w:r w:rsidRPr="000960A0">
        <w:rPr>
          <w:rFonts w:ascii="Palatino Linotype" w:eastAsia="Palatino Linotype" w:hAnsi="Palatino Linotype" w:cs="Palatino Linotype"/>
          <w:color w:val="000000"/>
          <w:sz w:val="20"/>
          <w:szCs w:val="20"/>
          <w:u w:val="single"/>
        </w:rPr>
        <w:t>/2026</w:t>
      </w:r>
    </w:p>
    <w:p w14:paraId="365F5949" w14:textId="77777777" w:rsidR="00421729" w:rsidRPr="00421729" w:rsidRDefault="00421729" w:rsidP="000960A0">
      <w:pPr>
        <w:spacing w:after="120"/>
        <w:jc w:val="center"/>
        <w:rPr>
          <w:rFonts w:ascii="Palatino Linotype" w:eastAsia="Palatino Linotype" w:hAnsi="Palatino Linotype" w:cs="Palatino Linotype"/>
          <w:color w:val="000000"/>
          <w:sz w:val="20"/>
          <w:szCs w:val="20"/>
        </w:rPr>
      </w:pPr>
    </w:p>
    <w:p w14:paraId="314FDF1C" w14:textId="4D104CCD" w:rsidR="000960A0" w:rsidRPr="000960A0" w:rsidRDefault="00B07409" w:rsidP="000960A0">
      <w:pPr>
        <w:spacing w:after="120"/>
        <w:jc w:val="center"/>
        <w:rPr>
          <w:rFonts w:ascii="Palatino Linotype" w:eastAsia="Palatino Linotype" w:hAnsi="Palatino Linotype" w:cs="Palatino Linotype"/>
          <w:color w:val="C00000"/>
          <w:sz w:val="48"/>
          <w:szCs w:val="48"/>
        </w:rPr>
      </w:pPr>
      <w:r>
        <w:rPr>
          <w:rFonts w:ascii="Palatino Linotype" w:eastAsia="Palatino Linotype" w:hAnsi="Palatino Linotype" w:cs="Palatino Linotype"/>
          <w:b/>
          <w:bCs/>
          <w:color w:val="C00000"/>
          <w:sz w:val="48"/>
          <w:szCs w:val="48"/>
        </w:rPr>
        <w:t>Nel Museo diocesano e Gallerie del Tiepolo un’installazione multimediale ripercorre la ricostruzione delle chiese dopo il terremoto</w:t>
      </w:r>
    </w:p>
    <w:p w14:paraId="20AE9797" w14:textId="77777777" w:rsidR="00FC7CE2" w:rsidRPr="00FC7CE2" w:rsidRDefault="00FC7CE2" w:rsidP="000960A0">
      <w:pPr>
        <w:spacing w:after="120"/>
        <w:rPr>
          <w:rFonts w:ascii="Palatino Linotype" w:eastAsia="Palatino Linotype" w:hAnsi="Palatino Linotype" w:cs="Palatino Linotype"/>
          <w:b/>
          <w:bCs/>
          <w:i/>
          <w:iCs/>
          <w:color w:val="000000"/>
          <w:sz w:val="22"/>
          <w:szCs w:val="22"/>
        </w:rPr>
      </w:pPr>
    </w:p>
    <w:p w14:paraId="08DE3213" w14:textId="04899F38" w:rsidR="000960A0" w:rsidRDefault="00B07409" w:rsidP="000960A0">
      <w:pPr>
        <w:spacing w:after="120"/>
        <w:rPr>
          <w:rFonts w:ascii="Palatino Linotype" w:eastAsia="Palatino Linotype" w:hAnsi="Palatino Linotype" w:cs="Palatino Linotype"/>
          <w:color w:val="000000"/>
          <w:sz w:val="22"/>
          <w:szCs w:val="22"/>
        </w:rPr>
      </w:pPr>
      <w:r w:rsidRPr="00B07409">
        <w:rPr>
          <w:rFonts w:ascii="Palatino Linotype" w:eastAsia="Palatino Linotype" w:hAnsi="Palatino Linotype" w:cs="Palatino Linotype"/>
          <w:b/>
          <w:bCs/>
          <w:i/>
          <w:iCs/>
          <w:color w:val="000000"/>
          <w:sz w:val="22"/>
          <w:szCs w:val="22"/>
        </w:rPr>
        <w:t>Nei locali del Museo diocesano e Gallerie del Tiepolo, in piazza Patriarcato n. 1 a Udine, è possibile visionare l'installazione multimediale “Chiese prima e dopo il terremoto in Friuli”: un viaggio</w:t>
      </w:r>
      <w:r>
        <w:rPr>
          <w:rFonts w:ascii="Palatino Linotype" w:eastAsia="Palatino Linotype" w:hAnsi="Palatino Linotype" w:cs="Palatino Linotype"/>
          <w:b/>
          <w:bCs/>
          <w:i/>
          <w:iCs/>
          <w:color w:val="000000"/>
          <w:sz w:val="22"/>
          <w:szCs w:val="22"/>
        </w:rPr>
        <w:t xml:space="preserve"> digitale</w:t>
      </w:r>
      <w:r w:rsidRPr="00B07409">
        <w:rPr>
          <w:rFonts w:ascii="Palatino Linotype" w:eastAsia="Palatino Linotype" w:hAnsi="Palatino Linotype" w:cs="Palatino Linotype"/>
          <w:b/>
          <w:bCs/>
          <w:i/>
          <w:iCs/>
          <w:color w:val="000000"/>
          <w:sz w:val="22"/>
          <w:szCs w:val="22"/>
        </w:rPr>
        <w:t xml:space="preserve"> nella </w:t>
      </w:r>
      <w:r>
        <w:rPr>
          <w:rFonts w:ascii="Palatino Linotype" w:eastAsia="Palatino Linotype" w:hAnsi="Palatino Linotype" w:cs="Palatino Linotype"/>
          <w:b/>
          <w:bCs/>
          <w:i/>
          <w:iCs/>
          <w:color w:val="000000"/>
          <w:sz w:val="22"/>
          <w:szCs w:val="22"/>
        </w:rPr>
        <w:t xml:space="preserve">storia della </w:t>
      </w:r>
      <w:r w:rsidRPr="00B07409">
        <w:rPr>
          <w:rFonts w:ascii="Palatino Linotype" w:eastAsia="Palatino Linotype" w:hAnsi="Palatino Linotype" w:cs="Palatino Linotype"/>
          <w:b/>
          <w:bCs/>
          <w:i/>
          <w:iCs/>
          <w:color w:val="000000"/>
          <w:sz w:val="22"/>
          <w:szCs w:val="22"/>
        </w:rPr>
        <w:t>ricostruzione degli edifici di culto dopo il sisma del 1976.</w:t>
      </w:r>
      <w:r w:rsidR="000960A0" w:rsidRPr="00FC7CE2">
        <w:rPr>
          <w:rFonts w:ascii="Palatino Linotype" w:eastAsia="Palatino Linotype" w:hAnsi="Palatino Linotype" w:cs="Palatino Linotype"/>
          <w:color w:val="000000"/>
          <w:sz w:val="22"/>
          <w:szCs w:val="22"/>
        </w:rPr>
        <w:t> </w:t>
      </w:r>
    </w:p>
    <w:p w14:paraId="58C4FE24" w14:textId="77777777" w:rsidR="00B07409" w:rsidRPr="00FC7CE2" w:rsidRDefault="00B07409" w:rsidP="000960A0">
      <w:pPr>
        <w:spacing w:after="120"/>
        <w:rPr>
          <w:rFonts w:ascii="Palatino Linotype" w:eastAsia="Palatino Linotype" w:hAnsi="Palatino Linotype" w:cs="Palatino Linotype"/>
          <w:color w:val="000000"/>
          <w:sz w:val="22"/>
          <w:szCs w:val="22"/>
        </w:rPr>
      </w:pPr>
    </w:p>
    <w:p w14:paraId="21787B9B" w14:textId="511EA78A" w:rsidR="00B07409" w:rsidRPr="00B07409" w:rsidRDefault="00B07409" w:rsidP="00B07409">
      <w:pPr>
        <w:spacing w:after="120"/>
        <w:rPr>
          <w:rFonts w:ascii="Palatino Linotype" w:eastAsia="Palatino Linotype" w:hAnsi="Palatino Linotype" w:cs="Palatino Linotype"/>
          <w:color w:val="000000"/>
          <w:sz w:val="22"/>
          <w:szCs w:val="22"/>
        </w:rPr>
      </w:pPr>
      <w:r w:rsidRPr="00B07409">
        <w:rPr>
          <w:rFonts w:ascii="Palatino Linotype" w:eastAsia="Palatino Linotype" w:hAnsi="Palatino Linotype" w:cs="Palatino Linotype"/>
          <w:color w:val="000000"/>
          <w:sz w:val="22"/>
          <w:szCs w:val="22"/>
        </w:rPr>
        <w:t>Chi passeggia per il centro di Udine, per diletto o durante una pausa dallo studio o dal lavoro, può approfondire in pochi clic il restauro decine e decine di chiese distrutte dal terremoto del 1976 e successivamente ricostruite. Nel Museo diocesano e Gallerie del Tiepolo, in piazza Patriarcato 1, infatti, si può ora trovare una postazione multimediale touchscreen intitolata proprio “Chiese prima e dopo il terremoto in Friuli”: tramite una mappa interattiva con possibilità di zoom, movimento e click sugli interventi, il display permette di vedere come sono state ricostruite le chiese disastrate dall’</w:t>
      </w:r>
      <w:proofErr w:type="spellStart"/>
      <w:r w:rsidRPr="00B07409">
        <w:rPr>
          <w:rFonts w:ascii="Palatino Linotype" w:eastAsia="Palatino Linotype" w:hAnsi="Palatino Linotype" w:cs="Palatino Linotype"/>
          <w:color w:val="000000"/>
          <w:sz w:val="22"/>
          <w:szCs w:val="22"/>
        </w:rPr>
        <w:t>Orcolat</w:t>
      </w:r>
      <w:proofErr w:type="spellEnd"/>
      <w:r w:rsidRPr="00B07409">
        <w:rPr>
          <w:rFonts w:ascii="Palatino Linotype" w:eastAsia="Palatino Linotype" w:hAnsi="Palatino Linotype" w:cs="Palatino Linotype"/>
          <w:color w:val="000000"/>
          <w:sz w:val="22"/>
          <w:szCs w:val="22"/>
        </w:rPr>
        <w:t>, raccolte in alcune categorie legate dagli enti che hanno seguito gli iter di restauro. Ciascuna inserita nel proprio contesto geografico, di ogni chiesa è mostrato dapprima l’aspetto originario e, in una sequenza di immagini, l’architettura disastrata, e, infine le immagini – interno ed esterno – della chiesa nuova.</w:t>
      </w:r>
    </w:p>
    <w:p w14:paraId="262AB6A3" w14:textId="77777777" w:rsidR="00B07409" w:rsidRPr="00B07409" w:rsidRDefault="00B07409" w:rsidP="00B07409">
      <w:pPr>
        <w:spacing w:after="120"/>
        <w:rPr>
          <w:rFonts w:ascii="Palatino Linotype" w:eastAsia="Palatino Linotype" w:hAnsi="Palatino Linotype" w:cs="Palatino Linotype"/>
          <w:color w:val="000000"/>
          <w:sz w:val="22"/>
          <w:szCs w:val="22"/>
        </w:rPr>
      </w:pPr>
      <w:r w:rsidRPr="00B07409">
        <w:rPr>
          <w:rFonts w:ascii="Palatino Linotype" w:eastAsia="Palatino Linotype" w:hAnsi="Palatino Linotype" w:cs="Palatino Linotype"/>
          <w:color w:val="000000"/>
          <w:sz w:val="22"/>
          <w:szCs w:val="22"/>
        </w:rPr>
        <w:t>Innanzitutto, le immagini mostrano il cambiamento dell’aspetto architettonico esterno ed interno delle 57 chiese distrutte dai due terremoti del 1976 che furono ricostruite dall’Arcidiocesi di Udine dopo l’affidamento del loro restauro da parte dello Stato, secondo quello che fu poi denominato “modello Friuli”. Insieme a questo gruppo di chiese è possibile vedere anche un’antologia delle altre 334 il cui restauri furono condotti dalla Soprintendenza del Friuli-Venezia Giulia. Il duomo di Gemona e la parrocchiale di Venzone sono presentate anche in immagini a 360° dell’interno.</w:t>
      </w:r>
    </w:p>
    <w:p w14:paraId="38504867" w14:textId="5C5781CF" w:rsidR="00923B03" w:rsidRPr="00923B03" w:rsidRDefault="00B07409" w:rsidP="00923B03">
      <w:pPr>
        <w:spacing w:after="120"/>
        <w:rPr>
          <w:rFonts w:ascii="Palatino Linotype" w:eastAsia="Palatino Linotype" w:hAnsi="Palatino Linotype" w:cs="Palatino Linotype"/>
          <w:color w:val="000000"/>
          <w:sz w:val="22"/>
          <w:szCs w:val="22"/>
        </w:rPr>
      </w:pPr>
      <w:r w:rsidRPr="00B07409">
        <w:rPr>
          <w:rFonts w:ascii="Palatino Linotype" w:eastAsia="Palatino Linotype" w:hAnsi="Palatino Linotype" w:cs="Palatino Linotype"/>
          <w:color w:val="000000"/>
          <w:sz w:val="22"/>
          <w:szCs w:val="22"/>
        </w:rPr>
        <w:t xml:space="preserve">La postazione interattiva, realizzata dalla Ubiz3D di Gorizia, è lo sviluppo aggiornato e integrato in </w:t>
      </w:r>
      <w:proofErr w:type="spellStart"/>
      <w:r w:rsidRPr="00B07409">
        <w:rPr>
          <w:rFonts w:ascii="Palatino Linotype" w:eastAsia="Palatino Linotype" w:hAnsi="Palatino Linotype" w:cs="Palatino Linotype"/>
          <w:color w:val="000000"/>
          <w:sz w:val="22"/>
          <w:szCs w:val="22"/>
        </w:rPr>
        <w:t>Webapp</w:t>
      </w:r>
      <w:proofErr w:type="spellEnd"/>
      <w:r w:rsidRPr="00B07409">
        <w:rPr>
          <w:rFonts w:ascii="Palatino Linotype" w:eastAsia="Palatino Linotype" w:hAnsi="Palatino Linotype" w:cs="Palatino Linotype"/>
          <w:color w:val="000000"/>
          <w:sz w:val="22"/>
          <w:szCs w:val="22"/>
        </w:rPr>
        <w:t xml:space="preserve"> del Dvd allegato all’edizione del 2012 “</w:t>
      </w:r>
      <w:proofErr w:type="spellStart"/>
      <w:r w:rsidRPr="00B07409">
        <w:rPr>
          <w:rFonts w:ascii="Palatino Linotype" w:eastAsia="Palatino Linotype" w:hAnsi="Palatino Linotype" w:cs="Palatino Linotype"/>
          <w:color w:val="000000"/>
          <w:sz w:val="22"/>
          <w:szCs w:val="22"/>
        </w:rPr>
        <w:t>Cjase</w:t>
      </w:r>
      <w:proofErr w:type="spellEnd"/>
      <w:r w:rsidRPr="00B07409">
        <w:rPr>
          <w:rFonts w:ascii="Palatino Linotype" w:eastAsia="Palatino Linotype" w:hAnsi="Palatino Linotype" w:cs="Palatino Linotype"/>
          <w:color w:val="000000"/>
          <w:sz w:val="22"/>
          <w:szCs w:val="22"/>
        </w:rPr>
        <w:t xml:space="preserve"> di Diu, </w:t>
      </w:r>
      <w:proofErr w:type="spellStart"/>
      <w:r w:rsidRPr="00B07409">
        <w:rPr>
          <w:rFonts w:ascii="Palatino Linotype" w:eastAsia="Palatino Linotype" w:hAnsi="Palatino Linotype" w:cs="Palatino Linotype"/>
          <w:color w:val="000000"/>
          <w:sz w:val="22"/>
          <w:szCs w:val="22"/>
        </w:rPr>
        <w:t>Cjase</w:t>
      </w:r>
      <w:proofErr w:type="spellEnd"/>
      <w:r w:rsidRPr="00B07409">
        <w:rPr>
          <w:rFonts w:ascii="Palatino Linotype" w:eastAsia="Palatino Linotype" w:hAnsi="Palatino Linotype" w:cs="Palatino Linotype"/>
          <w:color w:val="000000"/>
          <w:sz w:val="22"/>
          <w:szCs w:val="22"/>
        </w:rPr>
        <w:t xml:space="preserve"> </w:t>
      </w:r>
      <w:proofErr w:type="spellStart"/>
      <w:r w:rsidRPr="00B07409">
        <w:rPr>
          <w:rFonts w:ascii="Palatino Linotype" w:eastAsia="Palatino Linotype" w:hAnsi="Palatino Linotype" w:cs="Palatino Linotype"/>
          <w:color w:val="000000"/>
          <w:sz w:val="22"/>
          <w:szCs w:val="22"/>
        </w:rPr>
        <w:t>nestre</w:t>
      </w:r>
      <w:proofErr w:type="spellEnd"/>
      <w:r w:rsidRPr="00B07409">
        <w:rPr>
          <w:rFonts w:ascii="Palatino Linotype" w:eastAsia="Palatino Linotype" w:hAnsi="Palatino Linotype" w:cs="Palatino Linotype"/>
          <w:color w:val="000000"/>
          <w:sz w:val="22"/>
          <w:szCs w:val="22"/>
        </w:rPr>
        <w:t>”, pubblicato dall’Ufficio per i beni culturali dell’Arcidiocesi di Udine nella serie “Percorsi per l’architettura e l’arte sacra in Friuli”.</w:t>
      </w:r>
    </w:p>
    <w:sectPr w:rsidR="00923B03" w:rsidRPr="00923B03" w:rsidSect="000509D3">
      <w:type w:val="continuous"/>
      <w:pgSz w:w="11900" w:h="16840"/>
      <w:pgMar w:top="1134" w:right="1134" w:bottom="113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3"/>
    <w:rsid w:val="00047D03"/>
    <w:rsid w:val="000509D3"/>
    <w:rsid w:val="000723D8"/>
    <w:rsid w:val="00094490"/>
    <w:rsid w:val="000960A0"/>
    <w:rsid w:val="00113C71"/>
    <w:rsid w:val="00154824"/>
    <w:rsid w:val="001A06FF"/>
    <w:rsid w:val="001C1873"/>
    <w:rsid w:val="001F78DC"/>
    <w:rsid w:val="00240556"/>
    <w:rsid w:val="002A5E1C"/>
    <w:rsid w:val="002E4080"/>
    <w:rsid w:val="003015BE"/>
    <w:rsid w:val="00317A1A"/>
    <w:rsid w:val="003B11D3"/>
    <w:rsid w:val="003D3584"/>
    <w:rsid w:val="00421729"/>
    <w:rsid w:val="00454D1A"/>
    <w:rsid w:val="00467D15"/>
    <w:rsid w:val="004C4549"/>
    <w:rsid w:val="004F1193"/>
    <w:rsid w:val="005710EE"/>
    <w:rsid w:val="00691588"/>
    <w:rsid w:val="006A12CD"/>
    <w:rsid w:val="007644BB"/>
    <w:rsid w:val="007B54A4"/>
    <w:rsid w:val="0087533E"/>
    <w:rsid w:val="00875C2D"/>
    <w:rsid w:val="00881175"/>
    <w:rsid w:val="00881CC0"/>
    <w:rsid w:val="008858D4"/>
    <w:rsid w:val="008A758C"/>
    <w:rsid w:val="008F38FC"/>
    <w:rsid w:val="008F39F2"/>
    <w:rsid w:val="00923B03"/>
    <w:rsid w:val="00984614"/>
    <w:rsid w:val="009A60C0"/>
    <w:rsid w:val="009F378C"/>
    <w:rsid w:val="00B07409"/>
    <w:rsid w:val="00B10BEE"/>
    <w:rsid w:val="00C86CE2"/>
    <w:rsid w:val="00D30B8B"/>
    <w:rsid w:val="00D64D6B"/>
    <w:rsid w:val="00D77000"/>
    <w:rsid w:val="00E0296B"/>
    <w:rsid w:val="00E74256"/>
    <w:rsid w:val="00E93712"/>
    <w:rsid w:val="00EE4FCC"/>
    <w:rsid w:val="00F87538"/>
    <w:rsid w:val="00F946D6"/>
    <w:rsid w:val="00FC7CE2"/>
    <w:rsid w:val="00FE1C95"/>
    <w:rsid w:val="00FE4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269"/>
  <w15:chartTrackingRefBased/>
  <w15:docId w15:val="{FC006043-3532-4C09-860F-BD331E8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712"/>
    <w:pPr>
      <w:ind w:left="720"/>
      <w:contextualSpacing/>
    </w:pPr>
  </w:style>
  <w:style w:type="paragraph" w:styleId="NormaleWeb">
    <w:name w:val="Normal (Web)"/>
    <w:basedOn w:val="Normale"/>
    <w:uiPriority w:val="99"/>
    <w:semiHidden/>
    <w:unhideWhenUsed/>
    <w:rsid w:val="00691588"/>
    <w:rPr>
      <w:rFonts w:ascii="Times New Roman" w:hAnsi="Times New Roman" w:cs="Times New Roman"/>
    </w:rPr>
  </w:style>
  <w:style w:type="character" w:styleId="Collegamentoipertestuale">
    <w:name w:val="Hyperlink"/>
    <w:basedOn w:val="Carpredefinitoparagrafo"/>
    <w:uiPriority w:val="99"/>
    <w:unhideWhenUsed/>
    <w:rsid w:val="00B07409"/>
    <w:rPr>
      <w:color w:val="0563C1" w:themeColor="hyperlink"/>
      <w:u w:val="single"/>
    </w:rPr>
  </w:style>
  <w:style w:type="character" w:styleId="Menzionenonrisolta">
    <w:name w:val="Unresolved Mention"/>
    <w:basedOn w:val="Carpredefinitoparagrafo"/>
    <w:uiPriority w:val="99"/>
    <w:semiHidden/>
    <w:unhideWhenUsed/>
    <w:rsid w:val="00B0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2877</TotalTime>
  <Pages>1</Pages>
  <Words>341</Words>
  <Characters>1949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Lamba</dc:creator>
  <cp:keywords/>
  <dc:description/>
  <cp:lastModifiedBy>Giovanni Lesa</cp:lastModifiedBy>
  <cp:revision>12</cp:revision>
  <dcterms:created xsi:type="dcterms:W3CDTF">2026-04-18T07:44:00Z</dcterms:created>
  <dcterms:modified xsi:type="dcterms:W3CDTF">2026-05-21T10:11:00Z</dcterms:modified>
</cp:coreProperties>
</file>