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386E27" w14:textId="713EDE7D" w:rsidR="00881CC0" w:rsidRDefault="00E93712" w:rsidP="00881CC0">
      <w:pPr>
        <w:spacing w:after="120"/>
        <w:rPr>
          <w:rFonts w:ascii="Palatino Linotype" w:hAnsi="Palatino Linotype"/>
          <w:iCs/>
          <w:sz w:val="22"/>
          <w:szCs w:val="22"/>
        </w:rPr>
      </w:pPr>
      <w:r>
        <w:rPr>
          <w:noProof/>
        </w:rPr>
        <w:drawing>
          <wp:anchor distT="0" distB="0" distL="114300" distR="114300" simplePos="0" relativeHeight="251659264" behindDoc="0" locked="0" layoutInCell="1" hidden="0" allowOverlap="1" wp14:anchorId="23E72F78" wp14:editId="13EA5A0D">
            <wp:simplePos x="0" y="0"/>
            <wp:positionH relativeFrom="margin">
              <wp:align>left</wp:align>
            </wp:positionH>
            <wp:positionV relativeFrom="paragraph">
              <wp:posOffset>6680</wp:posOffset>
            </wp:positionV>
            <wp:extent cx="1792800" cy="637200"/>
            <wp:effectExtent l="0" t="0" r="0" b="0"/>
            <wp:wrapNone/>
            <wp:docPr id="6" name="image3.png" descr="U:\CAP\Comunicazioni\2024-2025\Logo Arcidiocesi completo.png"/>
            <wp:cNvGraphicFramePr/>
            <a:graphic xmlns:a="http://schemas.openxmlformats.org/drawingml/2006/main">
              <a:graphicData uri="http://schemas.openxmlformats.org/drawingml/2006/picture">
                <pic:pic xmlns:pic="http://schemas.openxmlformats.org/drawingml/2006/picture">
                  <pic:nvPicPr>
                    <pic:cNvPr id="0" name="image3.png" descr="U:\CAP\Comunicazioni\2024-2025\Logo Arcidiocesi completo.png"/>
                    <pic:cNvPicPr preferRelativeResize="0"/>
                  </pic:nvPicPr>
                  <pic:blipFill>
                    <a:blip r:embed="rId4"/>
                    <a:srcRect/>
                    <a:stretch>
                      <a:fillRect/>
                    </a:stretch>
                  </pic:blipFill>
                  <pic:spPr>
                    <a:xfrm>
                      <a:off x="0" y="0"/>
                      <a:ext cx="1792800" cy="637200"/>
                    </a:xfrm>
                    <a:prstGeom prst="rect">
                      <a:avLst/>
                    </a:prstGeom>
                    <a:ln/>
                  </pic:spPr>
                </pic:pic>
              </a:graphicData>
            </a:graphic>
            <wp14:sizeRelH relativeFrom="margin">
              <wp14:pctWidth>0</wp14:pctWidth>
            </wp14:sizeRelH>
            <wp14:sizeRelV relativeFrom="margin">
              <wp14:pctHeight>0</wp14:pctHeight>
            </wp14:sizeRelV>
          </wp:anchor>
        </w:drawing>
      </w:r>
    </w:p>
    <w:p w14:paraId="5DCBB2EC" w14:textId="77777777" w:rsidR="003015BE" w:rsidRDefault="003015BE" w:rsidP="00881CC0">
      <w:pPr>
        <w:spacing w:after="120"/>
        <w:rPr>
          <w:rFonts w:ascii="Palatino Linotype" w:hAnsi="Palatino Linotype"/>
          <w:iCs/>
          <w:sz w:val="22"/>
          <w:szCs w:val="22"/>
        </w:rPr>
      </w:pPr>
    </w:p>
    <w:p w14:paraId="7B3D5E25" w14:textId="72EA186E" w:rsidR="003015BE" w:rsidRDefault="003015BE" w:rsidP="00881CC0">
      <w:pPr>
        <w:spacing w:after="120"/>
        <w:rPr>
          <w:rFonts w:ascii="Palatino Linotype" w:hAnsi="Palatino Linotype"/>
          <w:iCs/>
          <w:sz w:val="22"/>
          <w:szCs w:val="22"/>
        </w:rPr>
      </w:pPr>
    </w:p>
    <w:p w14:paraId="2E669ADD" w14:textId="404BADC8" w:rsidR="000960A0" w:rsidRDefault="000960A0" w:rsidP="000960A0">
      <w:pPr>
        <w:spacing w:after="120"/>
        <w:jc w:val="center"/>
        <w:rPr>
          <w:rFonts w:ascii="Palatino Linotype" w:eastAsia="Palatino Linotype" w:hAnsi="Palatino Linotype" w:cs="Palatino Linotype"/>
          <w:color w:val="000000"/>
          <w:sz w:val="20"/>
          <w:szCs w:val="20"/>
          <w:u w:val="single"/>
        </w:rPr>
      </w:pPr>
      <w:r w:rsidRPr="000960A0">
        <w:rPr>
          <w:rFonts w:ascii="Palatino Linotype" w:eastAsia="Palatino Linotype" w:hAnsi="Palatino Linotype" w:cs="Palatino Linotype"/>
          <w:color w:val="000000"/>
          <w:sz w:val="20"/>
          <w:szCs w:val="20"/>
          <w:u w:val="single"/>
        </w:rPr>
        <w:t xml:space="preserve">Comunicato stampa </w:t>
      </w:r>
      <w:r w:rsidR="00DD52CB">
        <w:rPr>
          <w:rFonts w:ascii="Palatino Linotype" w:eastAsia="Palatino Linotype" w:hAnsi="Palatino Linotype" w:cs="Palatino Linotype"/>
          <w:color w:val="000000"/>
          <w:sz w:val="20"/>
          <w:szCs w:val="20"/>
          <w:u w:val="single"/>
        </w:rPr>
        <w:t>4</w:t>
      </w:r>
      <w:r w:rsidR="00E976BE">
        <w:rPr>
          <w:rFonts w:ascii="Palatino Linotype" w:eastAsia="Palatino Linotype" w:hAnsi="Palatino Linotype" w:cs="Palatino Linotype"/>
          <w:color w:val="000000"/>
          <w:sz w:val="20"/>
          <w:szCs w:val="20"/>
          <w:u w:val="single"/>
        </w:rPr>
        <w:t>8</w:t>
      </w:r>
      <w:r w:rsidRPr="000960A0">
        <w:rPr>
          <w:rFonts w:ascii="Palatino Linotype" w:eastAsia="Palatino Linotype" w:hAnsi="Palatino Linotype" w:cs="Palatino Linotype"/>
          <w:color w:val="000000"/>
          <w:sz w:val="20"/>
          <w:szCs w:val="20"/>
          <w:u w:val="single"/>
        </w:rPr>
        <w:t>/2026</w:t>
      </w:r>
    </w:p>
    <w:p w14:paraId="2D4594A3" w14:textId="77777777" w:rsidR="006A309B" w:rsidRDefault="006A309B" w:rsidP="0044607E">
      <w:pPr>
        <w:spacing w:after="120"/>
        <w:jc w:val="center"/>
        <w:rPr>
          <w:rFonts w:ascii="Palatino Linotype" w:eastAsia="Palatino Linotype" w:hAnsi="Palatino Linotype" w:cs="Palatino Linotype"/>
          <w:b/>
          <w:bCs/>
          <w:color w:val="000000"/>
          <w:sz w:val="20"/>
          <w:szCs w:val="20"/>
        </w:rPr>
      </w:pPr>
    </w:p>
    <w:p w14:paraId="154D9688" w14:textId="58D5FDB7" w:rsidR="00B53AA3" w:rsidRPr="00FC7CE2" w:rsidRDefault="00E976BE" w:rsidP="003B6B24">
      <w:pPr>
        <w:spacing w:after="120"/>
        <w:jc w:val="center"/>
        <w:rPr>
          <w:rFonts w:ascii="Palatino Linotype" w:eastAsia="Palatino Linotype" w:hAnsi="Palatino Linotype" w:cs="Palatino Linotype"/>
          <w:b/>
          <w:bCs/>
          <w:i/>
          <w:iCs/>
          <w:color w:val="000000"/>
          <w:sz w:val="22"/>
          <w:szCs w:val="22"/>
        </w:rPr>
      </w:pPr>
      <w:r w:rsidRPr="00E976BE">
        <w:rPr>
          <w:rFonts w:ascii="Palatino Linotype" w:eastAsia="Palatino Linotype" w:hAnsi="Palatino Linotype" w:cs="Palatino Linotype"/>
          <w:b/>
          <w:bCs/>
          <w:color w:val="C00000"/>
          <w:sz w:val="48"/>
          <w:szCs w:val="48"/>
        </w:rPr>
        <w:t>Irregolarità nella precedente gestione economica del Seminario: disposte misure cautelari</w:t>
      </w:r>
    </w:p>
    <w:p w14:paraId="0FE44462" w14:textId="77777777" w:rsidR="002341A6" w:rsidRDefault="002341A6" w:rsidP="00B53AA3">
      <w:pPr>
        <w:spacing w:after="120"/>
        <w:rPr>
          <w:rFonts w:ascii="Palatino Linotype" w:eastAsia="Palatino Linotype" w:hAnsi="Palatino Linotype" w:cs="Palatino Linotype"/>
          <w:b/>
          <w:bCs/>
          <w:i/>
          <w:iCs/>
          <w:color w:val="000000"/>
          <w:sz w:val="22"/>
          <w:szCs w:val="22"/>
        </w:rPr>
      </w:pPr>
    </w:p>
    <w:p w14:paraId="3A215958" w14:textId="077B46F4" w:rsidR="00B66C7A" w:rsidRDefault="00E976BE" w:rsidP="00737A71">
      <w:pPr>
        <w:spacing w:after="120"/>
        <w:rPr>
          <w:rFonts w:ascii="Palatino Linotype" w:eastAsia="Palatino Linotype" w:hAnsi="Palatino Linotype" w:cs="Palatino Linotype"/>
          <w:color w:val="000000"/>
          <w:sz w:val="22"/>
          <w:szCs w:val="22"/>
        </w:rPr>
      </w:pPr>
      <w:r w:rsidRPr="00E976BE">
        <w:rPr>
          <w:rFonts w:ascii="Palatino Linotype" w:eastAsia="Palatino Linotype" w:hAnsi="Palatino Linotype" w:cs="Palatino Linotype"/>
          <w:b/>
          <w:bCs/>
          <w:i/>
          <w:iCs/>
          <w:color w:val="000000"/>
          <w:sz w:val="22"/>
          <w:szCs w:val="22"/>
        </w:rPr>
        <w:t>L’Arcidiocesi rende noti ulteriori sviluppi della vicenda relativa all’indebita sottrazione di somme di denaro del Seminario Arcivescovile nella gestione economica antecedente al 2022. Nell’attesa del giudizio di merito è stato disposto un sequestro cautelativo.</w:t>
      </w:r>
    </w:p>
    <w:p w14:paraId="08632AE4" w14:textId="77777777" w:rsidR="00FE6CCA" w:rsidRDefault="00FE6CCA" w:rsidP="00B66C7A">
      <w:pPr>
        <w:spacing w:after="120"/>
        <w:rPr>
          <w:rFonts w:ascii="Palatino Linotype" w:eastAsia="Palatino Linotype" w:hAnsi="Palatino Linotype" w:cs="Palatino Linotype"/>
          <w:color w:val="000000"/>
          <w:sz w:val="22"/>
          <w:szCs w:val="22"/>
        </w:rPr>
      </w:pPr>
    </w:p>
    <w:p w14:paraId="7747B86E" w14:textId="77777777" w:rsidR="00E976BE" w:rsidRPr="00E976BE" w:rsidRDefault="00E976BE" w:rsidP="00E976BE">
      <w:pPr>
        <w:spacing w:after="120"/>
        <w:rPr>
          <w:rFonts w:ascii="Palatino Linotype" w:eastAsia="Palatino Linotype" w:hAnsi="Palatino Linotype" w:cs="Palatino Linotype"/>
          <w:color w:val="000000"/>
          <w:sz w:val="22"/>
          <w:szCs w:val="22"/>
        </w:rPr>
      </w:pPr>
      <w:r w:rsidRPr="00E976BE">
        <w:rPr>
          <w:rFonts w:ascii="Palatino Linotype" w:eastAsia="Palatino Linotype" w:hAnsi="Palatino Linotype" w:cs="Palatino Linotype"/>
          <w:color w:val="000000"/>
          <w:sz w:val="22"/>
          <w:szCs w:val="22"/>
        </w:rPr>
        <w:t>Con riferimento alla vicenda delle gravi irregolarità nella gestione economale passata del Seminario Arcivescovile “San Luigi Scrosoppi”, già denunciate all’Autorità giudiziaria nell’aprile 2024 con conseguente avvio da parte della Procura della Repubblica di Udine di un procedimento penale per i reati di appropriazione indebita aggravata e autoriciclaggio, l’Arcidiocesi di Udine comunica che il Seminario San Luigi Scrosoppi ha ritenuto doveroso assumere ulteriori iniziative nei confronti dei soggetti indagati e delle società cui i medesimi fanno capo (o facevano capo all’epoca dei fatti). Tali iniziative sono ritenute utili per il recupero delle ingenti somme di denaro indebitamente sottratte alle casse del Seminario nonché per il risarcimento del danno patito.</w:t>
      </w:r>
    </w:p>
    <w:p w14:paraId="157B57C3" w14:textId="77777777" w:rsidR="00E976BE" w:rsidRPr="00E976BE" w:rsidRDefault="00E976BE" w:rsidP="00E976BE">
      <w:pPr>
        <w:spacing w:after="120"/>
        <w:rPr>
          <w:rFonts w:ascii="Palatino Linotype" w:eastAsia="Palatino Linotype" w:hAnsi="Palatino Linotype" w:cs="Palatino Linotype"/>
          <w:color w:val="000000"/>
          <w:sz w:val="22"/>
          <w:szCs w:val="22"/>
        </w:rPr>
      </w:pPr>
      <w:r w:rsidRPr="00E976BE">
        <w:rPr>
          <w:rFonts w:ascii="Palatino Linotype" w:eastAsia="Palatino Linotype" w:hAnsi="Palatino Linotype" w:cs="Palatino Linotype"/>
          <w:color w:val="000000"/>
          <w:sz w:val="22"/>
          <w:szCs w:val="22"/>
        </w:rPr>
        <w:t>In particolare, tenuto conto dell’allungamento dei tempi del procedimento penale (rinviato al 3 novembre 2026 per legittimo impedimento del difensore di uno degli indagati), nel giugno 2026 il Seminario ha presentato dinanzi al Tribunale civile di Udine un ricorso per sequestro conservativo nei confronti dei predetti soggetti indagati e delle società. Il Seminario, in seguito a ulteriori approfondimenti e verifiche eseguiti nel corso degli ultimi mesi, ha potuto quantificare il danno in misura di poco superiore a 3 milioni di euro.</w:t>
      </w:r>
    </w:p>
    <w:p w14:paraId="37E29ACC" w14:textId="77777777" w:rsidR="00E976BE" w:rsidRPr="00E976BE" w:rsidRDefault="00E976BE" w:rsidP="00E976BE">
      <w:pPr>
        <w:spacing w:after="120"/>
        <w:rPr>
          <w:rFonts w:ascii="Palatino Linotype" w:eastAsia="Palatino Linotype" w:hAnsi="Palatino Linotype" w:cs="Palatino Linotype"/>
          <w:color w:val="000000"/>
          <w:sz w:val="22"/>
          <w:szCs w:val="22"/>
        </w:rPr>
      </w:pPr>
      <w:r w:rsidRPr="00E976BE">
        <w:rPr>
          <w:rFonts w:ascii="Palatino Linotype" w:eastAsia="Palatino Linotype" w:hAnsi="Palatino Linotype" w:cs="Palatino Linotype"/>
          <w:color w:val="000000"/>
          <w:sz w:val="22"/>
          <w:szCs w:val="22"/>
        </w:rPr>
        <w:t>«La misura cautelare che abbiamo richiesto – spiegano i legali del Seminario – è stata concessa dal giudice del Tribunale, dapprima senza il contraddittorio tra le parti (inaudita altera parte) e pressoché integralmente confermata in seguito al contraddittorio tra le parti».</w:t>
      </w:r>
    </w:p>
    <w:p w14:paraId="0B595E7A" w14:textId="77777777" w:rsidR="00E976BE" w:rsidRPr="00E976BE" w:rsidRDefault="00E976BE" w:rsidP="00E976BE">
      <w:pPr>
        <w:spacing w:after="120"/>
        <w:rPr>
          <w:rFonts w:ascii="Palatino Linotype" w:eastAsia="Palatino Linotype" w:hAnsi="Palatino Linotype" w:cs="Palatino Linotype"/>
          <w:color w:val="000000"/>
          <w:sz w:val="22"/>
          <w:szCs w:val="22"/>
        </w:rPr>
      </w:pPr>
      <w:r w:rsidRPr="00E976BE">
        <w:rPr>
          <w:rFonts w:ascii="Palatino Linotype" w:eastAsia="Palatino Linotype" w:hAnsi="Palatino Linotype" w:cs="Palatino Linotype"/>
          <w:color w:val="000000"/>
          <w:sz w:val="22"/>
          <w:szCs w:val="22"/>
        </w:rPr>
        <w:t>Come esito della fase istruttoria sommaria tipica dei procedimenti cautelari, il Tribunale ha ravvisato elementi sufficienti a ritenere fondata, in questa fase sommaria, la pretesa restitutoria e risarcitoria; inoltre, ha ritenuto sussistente il pericolo della dispersione delle garanzie patrimoniali dei soggetti coinvolti.</w:t>
      </w:r>
    </w:p>
    <w:p w14:paraId="14959CE8" w14:textId="77777777" w:rsidR="00E976BE" w:rsidRPr="00E976BE" w:rsidRDefault="00E976BE" w:rsidP="00E976BE">
      <w:pPr>
        <w:spacing w:after="120"/>
        <w:rPr>
          <w:rFonts w:ascii="Palatino Linotype" w:eastAsia="Palatino Linotype" w:hAnsi="Palatino Linotype" w:cs="Palatino Linotype"/>
          <w:color w:val="000000"/>
          <w:sz w:val="22"/>
          <w:szCs w:val="22"/>
        </w:rPr>
      </w:pPr>
      <w:r w:rsidRPr="00E976BE">
        <w:rPr>
          <w:rFonts w:ascii="Palatino Linotype" w:eastAsia="Palatino Linotype" w:hAnsi="Palatino Linotype" w:cs="Palatino Linotype"/>
          <w:color w:val="000000"/>
          <w:sz w:val="22"/>
          <w:szCs w:val="22"/>
        </w:rPr>
        <w:t>«Il Seminario – concludono i legali – procederà nelle prossime settimane a dare impulso al giudizio di merito finalizzato all’accertamento con cognizione piena dei fatti e delle responsabilità e alla conseguente pronuncia di condanna alla restituzione di quanto indebitamente sottratto al Seminario ed al risarcimento dei danni patiti, al fine di ridestinare tali somme ai suoi propri scopi istituzionali».</w:t>
      </w:r>
    </w:p>
    <w:p w14:paraId="4AB11AC4" w14:textId="77777777" w:rsidR="00E976BE" w:rsidRPr="00E976BE" w:rsidRDefault="00E976BE" w:rsidP="00E976BE">
      <w:pPr>
        <w:spacing w:after="120"/>
        <w:rPr>
          <w:rFonts w:ascii="Palatino Linotype" w:eastAsia="Palatino Linotype" w:hAnsi="Palatino Linotype" w:cs="Palatino Linotype"/>
          <w:color w:val="000000"/>
          <w:sz w:val="22"/>
          <w:szCs w:val="22"/>
        </w:rPr>
      </w:pPr>
      <w:r w:rsidRPr="00E976BE">
        <w:rPr>
          <w:rFonts w:ascii="Palatino Linotype" w:eastAsia="Palatino Linotype" w:hAnsi="Palatino Linotype" w:cs="Palatino Linotype"/>
          <w:color w:val="000000"/>
          <w:sz w:val="22"/>
          <w:szCs w:val="22"/>
        </w:rPr>
        <w:lastRenderedPageBreak/>
        <w:t xml:space="preserve">Come già detto in passato, è una vicenda che, come Chiesa, ci rattrista molto – afferma don Daniele Antonello, rettore del Seminario –, ma continuiamo ad avere piena fiducia nel lavoro della magistratura». </w:t>
      </w:r>
    </w:p>
    <w:p w14:paraId="075CAAAC" w14:textId="77777777" w:rsidR="00E976BE" w:rsidRPr="00E976BE" w:rsidRDefault="00E976BE" w:rsidP="00E976BE">
      <w:pPr>
        <w:spacing w:after="120"/>
        <w:rPr>
          <w:rFonts w:ascii="Palatino Linotype" w:eastAsia="Palatino Linotype" w:hAnsi="Palatino Linotype" w:cs="Palatino Linotype"/>
          <w:color w:val="000000"/>
          <w:sz w:val="22"/>
          <w:szCs w:val="22"/>
        </w:rPr>
      </w:pPr>
      <w:r w:rsidRPr="00E976BE">
        <w:rPr>
          <w:rFonts w:ascii="Palatino Linotype" w:eastAsia="Palatino Linotype" w:hAnsi="Palatino Linotype" w:cs="Palatino Linotype"/>
          <w:color w:val="000000"/>
          <w:sz w:val="22"/>
          <w:szCs w:val="22"/>
        </w:rPr>
        <w:t>«In questi mesi – prosegue don Antonello –, molte persone si sono interrogate sui motivi per i quali il Seminario abbia detenuto un patrimonio così importante, sottratto nel corso degli anni: tali sostanze sono dovute a un importante lascito ricevuto dal Seminario circa 15 anni fa. L’importo della donazione avrebbe potuto coprire i debiti derivanti dai costi sostenuti per strutture che, in virtù delle loro dimensioni e del numero di persone che le frequentano, necessitano continuamente di particolari adeguamenti. Dagli approfondimenti di questi ultimi anni, invece, è emerso il dubbio che l’importo del lascito sia stato distolto da tali fini. Non è un caso che il debito, ancora sussistente, alimentato anche dagli interessi maturati nel tempo, in questo momento stia limitando fortemente le scelte operative del Seminario e la massima fruibilità dei suoi locali. Come ente Seminario siamo impegnati a garantire legalità, trasparenza e correttezza nella gestione di un patrimonio che appartiene alla comunità ecclesiale e che abbiamo il dovere di custodire con responsabilità».</w:t>
      </w:r>
    </w:p>
    <w:p w14:paraId="75E68130" w14:textId="3754140F" w:rsidR="00E976BE" w:rsidRDefault="00E976BE" w:rsidP="00E976BE">
      <w:pPr>
        <w:spacing w:after="120"/>
        <w:rPr>
          <w:rFonts w:ascii="Palatino Linotype" w:eastAsia="Palatino Linotype" w:hAnsi="Palatino Linotype" w:cs="Palatino Linotype"/>
          <w:color w:val="000000"/>
          <w:sz w:val="22"/>
          <w:szCs w:val="22"/>
        </w:rPr>
      </w:pPr>
      <w:r w:rsidRPr="00E976BE">
        <w:rPr>
          <w:rFonts w:ascii="Palatino Linotype" w:eastAsia="Palatino Linotype" w:hAnsi="Palatino Linotype" w:cs="Palatino Linotype"/>
          <w:color w:val="000000"/>
          <w:sz w:val="22"/>
          <w:szCs w:val="22"/>
        </w:rPr>
        <w:t xml:space="preserve">Il rettore conclude ricordando che queste dolorose vicende «non vedono coinvolta la dimensione educativa e formativa del Seminario interdiocesano “San </w:t>
      </w:r>
      <w:proofErr w:type="spellStart"/>
      <w:r w:rsidRPr="00E976BE">
        <w:rPr>
          <w:rFonts w:ascii="Palatino Linotype" w:eastAsia="Palatino Linotype" w:hAnsi="Palatino Linotype" w:cs="Palatino Linotype"/>
          <w:color w:val="000000"/>
          <w:sz w:val="22"/>
          <w:szCs w:val="22"/>
        </w:rPr>
        <w:t>Cromazio</w:t>
      </w:r>
      <w:proofErr w:type="spellEnd"/>
      <w:r w:rsidRPr="00E976BE">
        <w:rPr>
          <w:rFonts w:ascii="Palatino Linotype" w:eastAsia="Palatino Linotype" w:hAnsi="Palatino Linotype" w:cs="Palatino Linotype"/>
          <w:color w:val="000000"/>
          <w:sz w:val="22"/>
          <w:szCs w:val="22"/>
        </w:rPr>
        <w:t xml:space="preserve"> d’Aquileia” di Gorizia, Trieste e Udine».</w:t>
      </w:r>
    </w:p>
    <w:p w14:paraId="07B10001" w14:textId="77777777" w:rsidR="00E976BE" w:rsidRDefault="00E976BE" w:rsidP="00E976BE">
      <w:pPr>
        <w:spacing w:after="120"/>
        <w:rPr>
          <w:rFonts w:ascii="Palatino Linotype" w:eastAsia="Palatino Linotype" w:hAnsi="Palatino Linotype" w:cs="Palatino Linotype"/>
          <w:color w:val="000000"/>
          <w:sz w:val="22"/>
          <w:szCs w:val="22"/>
        </w:rPr>
      </w:pPr>
    </w:p>
    <w:p w14:paraId="22934999" w14:textId="430F1D56" w:rsidR="00E976BE" w:rsidRPr="00E976BE" w:rsidRDefault="00E976BE" w:rsidP="00E976BE">
      <w:pPr>
        <w:spacing w:after="120"/>
        <w:rPr>
          <w:rFonts w:ascii="Palatino Linotype" w:eastAsia="Palatino Linotype" w:hAnsi="Palatino Linotype" w:cs="Palatino Linotype"/>
          <w:b/>
          <w:bCs/>
          <w:color w:val="C00000"/>
          <w:sz w:val="32"/>
          <w:szCs w:val="32"/>
        </w:rPr>
      </w:pPr>
      <w:r w:rsidRPr="00E976BE">
        <w:rPr>
          <w:rFonts w:ascii="Palatino Linotype" w:eastAsia="Palatino Linotype" w:hAnsi="Palatino Linotype" w:cs="Palatino Linotype"/>
          <w:b/>
          <w:bCs/>
          <w:color w:val="C00000"/>
          <w:sz w:val="32"/>
          <w:szCs w:val="32"/>
        </w:rPr>
        <w:t>Il caso: l’ammanco quantificato in 1,2 milioni di euro</w:t>
      </w:r>
    </w:p>
    <w:p w14:paraId="3BD24CCF" w14:textId="65695B15" w:rsidR="00B00957" w:rsidRDefault="00E976BE" w:rsidP="00B00957">
      <w:pPr>
        <w:spacing w:after="120"/>
        <w:rPr>
          <w:rFonts w:ascii="Palatino Linotype" w:eastAsia="Palatino Linotype" w:hAnsi="Palatino Linotype" w:cs="Palatino Linotype"/>
          <w:color w:val="000000"/>
          <w:sz w:val="22"/>
          <w:szCs w:val="22"/>
        </w:rPr>
      </w:pPr>
      <w:r>
        <w:rPr>
          <w:rFonts w:ascii="Palatino Linotype" w:eastAsia="Palatino Linotype" w:hAnsi="Palatino Linotype" w:cs="Palatino Linotype"/>
          <w:color w:val="000000"/>
          <w:sz w:val="22"/>
          <w:szCs w:val="22"/>
        </w:rPr>
        <w:t xml:space="preserve">Questi </w:t>
      </w:r>
      <w:r w:rsidRPr="00E976BE">
        <w:rPr>
          <w:rFonts w:ascii="Palatino Linotype" w:eastAsia="Palatino Linotype" w:hAnsi="Palatino Linotype" w:cs="Palatino Linotype"/>
          <w:color w:val="000000"/>
          <w:sz w:val="22"/>
          <w:szCs w:val="22"/>
        </w:rPr>
        <w:t>svilupp</w:t>
      </w:r>
      <w:r>
        <w:rPr>
          <w:rFonts w:ascii="Palatino Linotype" w:eastAsia="Palatino Linotype" w:hAnsi="Palatino Linotype" w:cs="Palatino Linotype"/>
          <w:color w:val="000000"/>
          <w:sz w:val="22"/>
          <w:szCs w:val="22"/>
        </w:rPr>
        <w:t>i</w:t>
      </w:r>
      <w:r w:rsidRPr="00E976BE">
        <w:rPr>
          <w:rFonts w:ascii="Palatino Linotype" w:eastAsia="Palatino Linotype" w:hAnsi="Palatino Linotype" w:cs="Palatino Linotype"/>
          <w:color w:val="000000"/>
          <w:sz w:val="22"/>
          <w:szCs w:val="22"/>
        </w:rPr>
        <w:t xml:space="preserve"> </w:t>
      </w:r>
      <w:r>
        <w:rPr>
          <w:rFonts w:ascii="Palatino Linotype" w:eastAsia="Palatino Linotype" w:hAnsi="Palatino Linotype" w:cs="Palatino Linotype"/>
          <w:color w:val="000000"/>
          <w:sz w:val="22"/>
          <w:szCs w:val="22"/>
        </w:rPr>
        <w:t xml:space="preserve">riguardano il </w:t>
      </w:r>
      <w:r w:rsidRPr="00E976BE">
        <w:rPr>
          <w:rFonts w:ascii="Palatino Linotype" w:eastAsia="Palatino Linotype" w:hAnsi="Palatino Linotype" w:cs="Palatino Linotype"/>
          <w:color w:val="000000"/>
          <w:sz w:val="22"/>
          <w:szCs w:val="22"/>
        </w:rPr>
        <w:t>caso degli ammanchi per oltre 1,2 milioni di euro</w:t>
      </w:r>
      <w:r>
        <w:rPr>
          <w:rFonts w:ascii="Palatino Linotype" w:eastAsia="Palatino Linotype" w:hAnsi="Palatino Linotype" w:cs="Palatino Linotype"/>
          <w:color w:val="000000"/>
          <w:sz w:val="22"/>
          <w:szCs w:val="22"/>
        </w:rPr>
        <w:t xml:space="preserve"> </w:t>
      </w:r>
      <w:r w:rsidRPr="00E976BE">
        <w:rPr>
          <w:rFonts w:ascii="Palatino Linotype" w:eastAsia="Palatino Linotype" w:hAnsi="Palatino Linotype" w:cs="Palatino Linotype"/>
          <w:color w:val="000000"/>
          <w:sz w:val="22"/>
          <w:szCs w:val="22"/>
        </w:rPr>
        <w:t>scoperti nei conti del seminario arcivescovile San Luigi Scrosoppi di Udine</w:t>
      </w:r>
      <w:r>
        <w:rPr>
          <w:rFonts w:ascii="Palatino Linotype" w:eastAsia="Palatino Linotype" w:hAnsi="Palatino Linotype" w:cs="Palatino Linotype"/>
          <w:color w:val="000000"/>
          <w:sz w:val="22"/>
          <w:szCs w:val="22"/>
        </w:rPr>
        <w:t xml:space="preserve"> nel </w:t>
      </w:r>
      <w:r w:rsidR="00B00957">
        <w:rPr>
          <w:rFonts w:ascii="Palatino Linotype" w:eastAsia="Palatino Linotype" w:hAnsi="Palatino Linotype" w:cs="Palatino Linotype"/>
          <w:color w:val="000000"/>
          <w:sz w:val="22"/>
          <w:szCs w:val="22"/>
        </w:rPr>
        <w:t xml:space="preserve">2024 e riferiti al </w:t>
      </w:r>
      <w:r>
        <w:rPr>
          <w:rFonts w:ascii="Palatino Linotype" w:eastAsia="Palatino Linotype" w:hAnsi="Palatino Linotype" w:cs="Palatino Linotype"/>
          <w:color w:val="000000"/>
          <w:sz w:val="22"/>
          <w:szCs w:val="22"/>
        </w:rPr>
        <w:t>periodo tra il 2018 e il 2022,</w:t>
      </w:r>
      <w:r w:rsidRPr="00E976BE">
        <w:rPr>
          <w:rFonts w:ascii="Palatino Linotype" w:eastAsia="Palatino Linotype" w:hAnsi="Palatino Linotype" w:cs="Palatino Linotype"/>
          <w:color w:val="000000"/>
          <w:sz w:val="22"/>
          <w:szCs w:val="22"/>
        </w:rPr>
        <w:t xml:space="preserve"> per cui sono accusati in concorso di appropriazione indebita e autoriciclaggio l’ex economo</w:t>
      </w:r>
      <w:r>
        <w:rPr>
          <w:rFonts w:ascii="Palatino Linotype" w:eastAsia="Palatino Linotype" w:hAnsi="Palatino Linotype" w:cs="Palatino Linotype"/>
          <w:color w:val="000000"/>
          <w:sz w:val="22"/>
          <w:szCs w:val="22"/>
        </w:rPr>
        <w:t xml:space="preserve"> </w:t>
      </w:r>
      <w:r w:rsidRPr="00E976BE">
        <w:rPr>
          <w:rFonts w:ascii="Palatino Linotype" w:eastAsia="Palatino Linotype" w:hAnsi="Palatino Linotype" w:cs="Palatino Linotype"/>
          <w:color w:val="000000"/>
          <w:sz w:val="22"/>
          <w:szCs w:val="22"/>
        </w:rPr>
        <w:t xml:space="preserve">e un imprenditore edile. </w:t>
      </w:r>
      <w:r>
        <w:rPr>
          <w:rFonts w:ascii="Palatino Linotype" w:eastAsia="Palatino Linotype" w:hAnsi="Palatino Linotype" w:cs="Palatino Linotype"/>
          <w:color w:val="000000"/>
          <w:sz w:val="22"/>
          <w:szCs w:val="22"/>
        </w:rPr>
        <w:t>S</w:t>
      </w:r>
      <w:r w:rsidRPr="00E976BE">
        <w:rPr>
          <w:rFonts w:ascii="Palatino Linotype" w:eastAsia="Palatino Linotype" w:hAnsi="Palatino Linotype" w:cs="Palatino Linotype"/>
          <w:color w:val="000000"/>
          <w:sz w:val="22"/>
          <w:szCs w:val="22"/>
        </w:rPr>
        <w:t xml:space="preserve">econdo l’accusa penale, </w:t>
      </w:r>
      <w:r>
        <w:rPr>
          <w:rFonts w:ascii="Palatino Linotype" w:eastAsia="Palatino Linotype" w:hAnsi="Palatino Linotype" w:cs="Palatino Linotype"/>
          <w:color w:val="000000"/>
          <w:sz w:val="22"/>
          <w:szCs w:val="22"/>
        </w:rPr>
        <w:t xml:space="preserve">sarebbero stati </w:t>
      </w:r>
      <w:r w:rsidRPr="00E976BE">
        <w:rPr>
          <w:rFonts w:ascii="Palatino Linotype" w:eastAsia="Palatino Linotype" w:hAnsi="Palatino Linotype" w:cs="Palatino Linotype"/>
          <w:color w:val="000000"/>
          <w:sz w:val="22"/>
          <w:szCs w:val="22"/>
        </w:rPr>
        <w:t>effettuat</w:t>
      </w:r>
      <w:r>
        <w:rPr>
          <w:rFonts w:ascii="Palatino Linotype" w:eastAsia="Palatino Linotype" w:hAnsi="Palatino Linotype" w:cs="Palatino Linotype"/>
          <w:color w:val="000000"/>
          <w:sz w:val="22"/>
          <w:szCs w:val="22"/>
        </w:rPr>
        <w:t>i</w:t>
      </w:r>
      <w:r w:rsidRPr="00E976BE">
        <w:rPr>
          <w:rFonts w:ascii="Palatino Linotype" w:eastAsia="Palatino Linotype" w:hAnsi="Palatino Linotype" w:cs="Palatino Linotype"/>
          <w:color w:val="000000"/>
          <w:sz w:val="22"/>
          <w:szCs w:val="22"/>
        </w:rPr>
        <w:t xml:space="preserve"> lavori</w:t>
      </w:r>
      <w:r>
        <w:rPr>
          <w:rFonts w:ascii="Palatino Linotype" w:eastAsia="Palatino Linotype" w:hAnsi="Palatino Linotype" w:cs="Palatino Linotype"/>
          <w:color w:val="000000"/>
          <w:sz w:val="22"/>
          <w:szCs w:val="22"/>
        </w:rPr>
        <w:t xml:space="preserve"> </w:t>
      </w:r>
      <w:r w:rsidRPr="00E976BE">
        <w:rPr>
          <w:rFonts w:ascii="Palatino Linotype" w:eastAsia="Palatino Linotype" w:hAnsi="Palatino Linotype" w:cs="Palatino Linotype"/>
          <w:color w:val="000000"/>
          <w:sz w:val="22"/>
          <w:szCs w:val="22"/>
        </w:rPr>
        <w:t xml:space="preserve">che venivano fatturati al Seminario per un immobile di proprietà di quest’ultimo a Reana del Rojale, </w:t>
      </w:r>
      <w:r>
        <w:rPr>
          <w:rFonts w:ascii="Palatino Linotype" w:eastAsia="Palatino Linotype" w:hAnsi="Palatino Linotype" w:cs="Palatino Linotype"/>
          <w:color w:val="000000"/>
          <w:sz w:val="22"/>
          <w:szCs w:val="22"/>
        </w:rPr>
        <w:t>quando</w:t>
      </w:r>
      <w:r w:rsidRPr="00E976BE">
        <w:rPr>
          <w:rFonts w:ascii="Palatino Linotype" w:eastAsia="Palatino Linotype" w:hAnsi="Palatino Linotype" w:cs="Palatino Linotype"/>
          <w:color w:val="000000"/>
          <w:sz w:val="22"/>
          <w:szCs w:val="22"/>
        </w:rPr>
        <w:t xml:space="preserve"> in realtà le opere di ristrutturazione venivano effettuate su immobili privati di uno dei due imputati</w:t>
      </w:r>
      <w:r>
        <w:rPr>
          <w:rFonts w:ascii="Palatino Linotype" w:eastAsia="Palatino Linotype" w:hAnsi="Palatino Linotype" w:cs="Palatino Linotype"/>
          <w:color w:val="000000"/>
          <w:sz w:val="22"/>
          <w:szCs w:val="22"/>
        </w:rPr>
        <w:t xml:space="preserve"> con </w:t>
      </w:r>
      <w:r w:rsidRPr="00E976BE">
        <w:rPr>
          <w:rFonts w:ascii="Palatino Linotype" w:eastAsia="Palatino Linotype" w:hAnsi="Palatino Linotype" w:cs="Palatino Linotype"/>
          <w:color w:val="000000"/>
          <w:sz w:val="22"/>
          <w:szCs w:val="22"/>
        </w:rPr>
        <w:t>riferimenti a contratti inesistenti.</w:t>
      </w:r>
    </w:p>
    <w:p w14:paraId="1B6AB2B4" w14:textId="6F94D593" w:rsidR="00B00957" w:rsidRDefault="00B00957" w:rsidP="00B00957">
      <w:pPr>
        <w:spacing w:after="120"/>
        <w:rPr>
          <w:rFonts w:ascii="Palatino Linotype" w:eastAsia="Palatino Linotype" w:hAnsi="Palatino Linotype" w:cs="Palatino Linotype"/>
          <w:color w:val="000000"/>
          <w:sz w:val="22"/>
          <w:szCs w:val="22"/>
        </w:rPr>
      </w:pPr>
      <w:r w:rsidRPr="00E976BE">
        <w:rPr>
          <w:rFonts w:ascii="Palatino Linotype" w:eastAsia="Palatino Linotype" w:hAnsi="Palatino Linotype" w:cs="Palatino Linotype"/>
          <w:color w:val="000000"/>
          <w:sz w:val="22"/>
          <w:szCs w:val="22"/>
        </w:rPr>
        <w:t xml:space="preserve">Il </w:t>
      </w:r>
      <w:r>
        <w:rPr>
          <w:rFonts w:ascii="Palatino Linotype" w:eastAsia="Palatino Linotype" w:hAnsi="Palatino Linotype" w:cs="Palatino Linotype"/>
          <w:color w:val="000000"/>
          <w:sz w:val="22"/>
          <w:szCs w:val="22"/>
        </w:rPr>
        <w:t>S</w:t>
      </w:r>
      <w:r w:rsidRPr="00E976BE">
        <w:rPr>
          <w:rFonts w:ascii="Palatino Linotype" w:eastAsia="Palatino Linotype" w:hAnsi="Palatino Linotype" w:cs="Palatino Linotype"/>
          <w:color w:val="000000"/>
          <w:sz w:val="22"/>
          <w:szCs w:val="22"/>
        </w:rPr>
        <w:t>eminario</w:t>
      </w:r>
      <w:r>
        <w:rPr>
          <w:rFonts w:ascii="Palatino Linotype" w:eastAsia="Palatino Linotype" w:hAnsi="Palatino Linotype" w:cs="Palatino Linotype"/>
          <w:color w:val="000000"/>
          <w:sz w:val="22"/>
          <w:szCs w:val="22"/>
        </w:rPr>
        <w:t xml:space="preserve"> è</w:t>
      </w:r>
      <w:r w:rsidRPr="00E976BE">
        <w:rPr>
          <w:rFonts w:ascii="Palatino Linotype" w:eastAsia="Palatino Linotype" w:hAnsi="Palatino Linotype" w:cs="Palatino Linotype"/>
          <w:color w:val="000000"/>
          <w:sz w:val="22"/>
          <w:szCs w:val="22"/>
        </w:rPr>
        <w:t xml:space="preserve"> difeso dagli avvocati Bruno Barel, Stefania Stefan, e Federico Gioia del foro di Treviso</w:t>
      </w:r>
      <w:r>
        <w:rPr>
          <w:rFonts w:ascii="Palatino Linotype" w:eastAsia="Palatino Linotype" w:hAnsi="Palatino Linotype" w:cs="Palatino Linotype"/>
          <w:color w:val="000000"/>
          <w:sz w:val="22"/>
          <w:szCs w:val="22"/>
        </w:rPr>
        <w:t xml:space="preserve">; l’ex economo è difeso dall’avvocato Roberto Mete, mentre l’imprenditore è difeso dagli avvocati </w:t>
      </w:r>
      <w:r w:rsidRPr="00E976BE">
        <w:rPr>
          <w:rFonts w:ascii="Palatino Linotype" w:eastAsia="Palatino Linotype" w:hAnsi="Palatino Linotype" w:cs="Palatino Linotype"/>
          <w:color w:val="000000"/>
          <w:sz w:val="22"/>
          <w:szCs w:val="22"/>
        </w:rPr>
        <w:t>Andrea Franchin e Rolando Favella</w:t>
      </w:r>
      <w:r>
        <w:rPr>
          <w:rFonts w:ascii="Palatino Linotype" w:eastAsia="Palatino Linotype" w:hAnsi="Palatino Linotype" w:cs="Palatino Linotype"/>
          <w:color w:val="000000"/>
          <w:sz w:val="22"/>
          <w:szCs w:val="22"/>
        </w:rPr>
        <w:t>.</w:t>
      </w:r>
    </w:p>
    <w:p w14:paraId="599D2BC7" w14:textId="631252F8" w:rsidR="00B00957" w:rsidRDefault="00E976BE" w:rsidP="00E976BE">
      <w:pPr>
        <w:spacing w:after="120"/>
        <w:rPr>
          <w:rFonts w:ascii="Palatino Linotype" w:eastAsia="Palatino Linotype" w:hAnsi="Palatino Linotype" w:cs="Palatino Linotype"/>
          <w:color w:val="000000"/>
          <w:sz w:val="22"/>
          <w:szCs w:val="22"/>
        </w:rPr>
      </w:pPr>
      <w:r>
        <w:rPr>
          <w:rFonts w:ascii="Palatino Linotype" w:eastAsia="Palatino Linotype" w:hAnsi="Palatino Linotype" w:cs="Palatino Linotype"/>
          <w:color w:val="000000"/>
          <w:sz w:val="22"/>
          <w:szCs w:val="22"/>
        </w:rPr>
        <w:t>I due imputati</w:t>
      </w:r>
      <w:r w:rsidRPr="00E976BE">
        <w:rPr>
          <w:rFonts w:ascii="Palatino Linotype" w:eastAsia="Palatino Linotype" w:hAnsi="Palatino Linotype" w:cs="Palatino Linotype"/>
          <w:color w:val="000000"/>
          <w:sz w:val="22"/>
          <w:szCs w:val="22"/>
        </w:rPr>
        <w:t xml:space="preserve"> compariranno il 3 novembre davanti al giudice penale per l’udienza preliminare in cui </w:t>
      </w:r>
      <w:r>
        <w:rPr>
          <w:rFonts w:ascii="Palatino Linotype" w:eastAsia="Palatino Linotype" w:hAnsi="Palatino Linotype" w:cs="Palatino Linotype"/>
          <w:color w:val="000000"/>
          <w:sz w:val="22"/>
          <w:szCs w:val="22"/>
        </w:rPr>
        <w:t>si</w:t>
      </w:r>
      <w:r w:rsidRPr="00E976BE">
        <w:rPr>
          <w:rFonts w:ascii="Palatino Linotype" w:eastAsia="Palatino Linotype" w:hAnsi="Palatino Linotype" w:cs="Palatino Linotype"/>
          <w:color w:val="000000"/>
          <w:sz w:val="22"/>
          <w:szCs w:val="22"/>
        </w:rPr>
        <w:t xml:space="preserve"> deciderà sulla richiesta di rinvio a giudizio avanzata nei loro confronti da</w:t>
      </w:r>
      <w:r w:rsidR="00B00957">
        <w:rPr>
          <w:rFonts w:ascii="Palatino Linotype" w:eastAsia="Palatino Linotype" w:hAnsi="Palatino Linotype" w:cs="Palatino Linotype"/>
          <w:color w:val="000000"/>
          <w:sz w:val="22"/>
          <w:szCs w:val="22"/>
        </w:rPr>
        <w:t>l</w:t>
      </w:r>
      <w:r w:rsidRPr="00E976BE">
        <w:rPr>
          <w:rFonts w:ascii="Palatino Linotype" w:eastAsia="Palatino Linotype" w:hAnsi="Palatino Linotype" w:cs="Palatino Linotype"/>
          <w:color w:val="000000"/>
          <w:sz w:val="22"/>
          <w:szCs w:val="22"/>
        </w:rPr>
        <w:t xml:space="preserve"> pubblico ministero Andrea Gondolo. L’accelera</w:t>
      </w:r>
      <w:r w:rsidR="00B00957">
        <w:rPr>
          <w:rFonts w:ascii="Palatino Linotype" w:eastAsia="Palatino Linotype" w:hAnsi="Palatino Linotype" w:cs="Palatino Linotype"/>
          <w:color w:val="000000"/>
          <w:sz w:val="22"/>
          <w:szCs w:val="22"/>
        </w:rPr>
        <w:t>zione</w:t>
      </w:r>
      <w:r w:rsidRPr="00E976BE">
        <w:rPr>
          <w:rFonts w:ascii="Palatino Linotype" w:eastAsia="Palatino Linotype" w:hAnsi="Palatino Linotype" w:cs="Palatino Linotype"/>
          <w:color w:val="000000"/>
          <w:sz w:val="22"/>
          <w:szCs w:val="22"/>
        </w:rPr>
        <w:t xml:space="preserve"> con la richiesta di sequestro in sede civile è arrivata proprio in seguito al rinvio dell’udienza penale disposto</w:t>
      </w:r>
      <w:r>
        <w:rPr>
          <w:rFonts w:ascii="Palatino Linotype" w:eastAsia="Palatino Linotype" w:hAnsi="Palatino Linotype" w:cs="Palatino Linotype"/>
          <w:color w:val="000000"/>
          <w:sz w:val="22"/>
          <w:szCs w:val="22"/>
        </w:rPr>
        <w:t xml:space="preserve"> ad aprile </w:t>
      </w:r>
      <w:r w:rsidRPr="00E976BE">
        <w:rPr>
          <w:rFonts w:ascii="Palatino Linotype" w:eastAsia="Palatino Linotype" w:hAnsi="Palatino Linotype" w:cs="Palatino Linotype"/>
          <w:color w:val="000000"/>
          <w:sz w:val="22"/>
          <w:szCs w:val="22"/>
        </w:rPr>
        <w:t>per legittimo impedimento dell’avvocato difensore dell’ex economo.</w:t>
      </w:r>
    </w:p>
    <w:p w14:paraId="763EF585" w14:textId="0902C869" w:rsidR="00E976BE" w:rsidRDefault="00B00957" w:rsidP="00E976BE">
      <w:pPr>
        <w:spacing w:after="120"/>
        <w:rPr>
          <w:rFonts w:ascii="Palatino Linotype" w:eastAsia="Palatino Linotype" w:hAnsi="Palatino Linotype" w:cs="Palatino Linotype"/>
          <w:color w:val="000000"/>
          <w:sz w:val="22"/>
          <w:szCs w:val="22"/>
        </w:rPr>
      </w:pPr>
      <w:r>
        <w:rPr>
          <w:rFonts w:ascii="Palatino Linotype" w:eastAsia="Palatino Linotype" w:hAnsi="Palatino Linotype" w:cs="Palatino Linotype"/>
          <w:color w:val="000000"/>
          <w:sz w:val="22"/>
          <w:szCs w:val="22"/>
        </w:rPr>
        <w:t>In ogni caso, e</w:t>
      </w:r>
      <w:r w:rsidRPr="00E976BE">
        <w:rPr>
          <w:rFonts w:ascii="Palatino Linotype" w:eastAsia="Palatino Linotype" w:hAnsi="Palatino Linotype" w:cs="Palatino Linotype"/>
          <w:color w:val="000000"/>
          <w:sz w:val="22"/>
          <w:szCs w:val="22"/>
        </w:rPr>
        <w:t xml:space="preserve">ntro metà novembre </w:t>
      </w:r>
      <w:r>
        <w:rPr>
          <w:rFonts w:ascii="Palatino Linotype" w:eastAsia="Palatino Linotype" w:hAnsi="Palatino Linotype" w:cs="Palatino Linotype"/>
          <w:color w:val="000000"/>
          <w:sz w:val="22"/>
          <w:szCs w:val="22"/>
        </w:rPr>
        <w:t xml:space="preserve">sarà </w:t>
      </w:r>
      <w:r w:rsidRPr="00E976BE">
        <w:rPr>
          <w:rFonts w:ascii="Palatino Linotype" w:eastAsia="Palatino Linotype" w:hAnsi="Palatino Linotype" w:cs="Palatino Linotype"/>
          <w:color w:val="000000"/>
          <w:sz w:val="22"/>
          <w:szCs w:val="22"/>
        </w:rPr>
        <w:t>attivato il giudizio civile per discutere la questione nel merito. Con questa iniziativa è molto probabile che il Seminario rinuncerà a costituirsi parte civile nel processo penale.</w:t>
      </w:r>
    </w:p>
    <w:sectPr w:rsidR="00E976BE" w:rsidSect="000509D3">
      <w:type w:val="continuous"/>
      <w:pgSz w:w="11900" w:h="16840"/>
      <w:pgMar w:top="1134" w:right="1134" w:bottom="1134" w:left="1134" w:header="720" w:footer="720"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283"/>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1873"/>
    <w:rsid w:val="00017609"/>
    <w:rsid w:val="00047D03"/>
    <w:rsid w:val="000509D3"/>
    <w:rsid w:val="000723D8"/>
    <w:rsid w:val="00094490"/>
    <w:rsid w:val="000960A0"/>
    <w:rsid w:val="000B57F7"/>
    <w:rsid w:val="000D6CF1"/>
    <w:rsid w:val="0010526C"/>
    <w:rsid w:val="00113C71"/>
    <w:rsid w:val="001329A1"/>
    <w:rsid w:val="001455A5"/>
    <w:rsid w:val="00154824"/>
    <w:rsid w:val="001A06FF"/>
    <w:rsid w:val="001B0EBE"/>
    <w:rsid w:val="001B45B1"/>
    <w:rsid w:val="001C1873"/>
    <w:rsid w:val="001D7DEA"/>
    <w:rsid w:val="001E6E12"/>
    <w:rsid w:val="001F78DC"/>
    <w:rsid w:val="00225A90"/>
    <w:rsid w:val="00233373"/>
    <w:rsid w:val="002341A6"/>
    <w:rsid w:val="00240556"/>
    <w:rsid w:val="002A5E1C"/>
    <w:rsid w:val="002B4F3C"/>
    <w:rsid w:val="002E4080"/>
    <w:rsid w:val="003015BE"/>
    <w:rsid w:val="00317A1A"/>
    <w:rsid w:val="003342A0"/>
    <w:rsid w:val="00345921"/>
    <w:rsid w:val="003767D1"/>
    <w:rsid w:val="003B11D3"/>
    <w:rsid w:val="003B6B24"/>
    <w:rsid w:val="003D3584"/>
    <w:rsid w:val="003F1DA0"/>
    <w:rsid w:val="0041565B"/>
    <w:rsid w:val="00421729"/>
    <w:rsid w:val="0044607E"/>
    <w:rsid w:val="00454D1A"/>
    <w:rsid w:val="00467D15"/>
    <w:rsid w:val="004C4549"/>
    <w:rsid w:val="004F1193"/>
    <w:rsid w:val="00523AA2"/>
    <w:rsid w:val="00564729"/>
    <w:rsid w:val="005710EE"/>
    <w:rsid w:val="00632A89"/>
    <w:rsid w:val="006435E6"/>
    <w:rsid w:val="00672009"/>
    <w:rsid w:val="00691588"/>
    <w:rsid w:val="006A12CD"/>
    <w:rsid w:val="006A309B"/>
    <w:rsid w:val="006C1034"/>
    <w:rsid w:val="0072018B"/>
    <w:rsid w:val="0073234D"/>
    <w:rsid w:val="00736450"/>
    <w:rsid w:val="00737A71"/>
    <w:rsid w:val="007439A0"/>
    <w:rsid w:val="007644BB"/>
    <w:rsid w:val="007B54A4"/>
    <w:rsid w:val="007E2A76"/>
    <w:rsid w:val="00867D9A"/>
    <w:rsid w:val="0087533E"/>
    <w:rsid w:val="00875C2D"/>
    <w:rsid w:val="00881175"/>
    <w:rsid w:val="00881CC0"/>
    <w:rsid w:val="008858D4"/>
    <w:rsid w:val="00897FEB"/>
    <w:rsid w:val="008A758C"/>
    <w:rsid w:val="008D609A"/>
    <w:rsid w:val="008F0659"/>
    <w:rsid w:val="008F38FC"/>
    <w:rsid w:val="008F39F2"/>
    <w:rsid w:val="00917E3F"/>
    <w:rsid w:val="00923B03"/>
    <w:rsid w:val="00951A25"/>
    <w:rsid w:val="00984614"/>
    <w:rsid w:val="009A60C0"/>
    <w:rsid w:val="009F378C"/>
    <w:rsid w:val="009F52B5"/>
    <w:rsid w:val="00A26025"/>
    <w:rsid w:val="00A60779"/>
    <w:rsid w:val="00A72868"/>
    <w:rsid w:val="00A75127"/>
    <w:rsid w:val="00A7660D"/>
    <w:rsid w:val="00AA73D1"/>
    <w:rsid w:val="00AD36AE"/>
    <w:rsid w:val="00AE13B4"/>
    <w:rsid w:val="00B00957"/>
    <w:rsid w:val="00B07409"/>
    <w:rsid w:val="00B10BEE"/>
    <w:rsid w:val="00B117A8"/>
    <w:rsid w:val="00B46241"/>
    <w:rsid w:val="00B53AA3"/>
    <w:rsid w:val="00B66C7A"/>
    <w:rsid w:val="00B71FBB"/>
    <w:rsid w:val="00B73E28"/>
    <w:rsid w:val="00BB0A93"/>
    <w:rsid w:val="00C35539"/>
    <w:rsid w:val="00C86CE2"/>
    <w:rsid w:val="00D30B8B"/>
    <w:rsid w:val="00D64D6B"/>
    <w:rsid w:val="00D77000"/>
    <w:rsid w:val="00DB184B"/>
    <w:rsid w:val="00DD0FBC"/>
    <w:rsid w:val="00DD187D"/>
    <w:rsid w:val="00DD52CB"/>
    <w:rsid w:val="00E0296B"/>
    <w:rsid w:val="00E049BB"/>
    <w:rsid w:val="00E22A4A"/>
    <w:rsid w:val="00E33975"/>
    <w:rsid w:val="00E74256"/>
    <w:rsid w:val="00E93712"/>
    <w:rsid w:val="00E976BE"/>
    <w:rsid w:val="00EE4C7D"/>
    <w:rsid w:val="00EE4FCC"/>
    <w:rsid w:val="00F033B5"/>
    <w:rsid w:val="00F154C3"/>
    <w:rsid w:val="00F87538"/>
    <w:rsid w:val="00F946D6"/>
    <w:rsid w:val="00F94CF3"/>
    <w:rsid w:val="00FC7CE2"/>
    <w:rsid w:val="00FE1C95"/>
    <w:rsid w:val="00FE4FF6"/>
    <w:rsid w:val="00FE6CC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5C5269"/>
  <w15:chartTrackingRefBased/>
  <w15:docId w15:val="{FC006043-3532-4C09-860F-BD331E8415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00957"/>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E93712"/>
    <w:pPr>
      <w:ind w:left="720"/>
      <w:contextualSpacing/>
    </w:pPr>
  </w:style>
  <w:style w:type="paragraph" w:styleId="NormaleWeb">
    <w:name w:val="Normal (Web)"/>
    <w:basedOn w:val="Normale"/>
    <w:uiPriority w:val="99"/>
    <w:semiHidden/>
    <w:unhideWhenUsed/>
    <w:rsid w:val="00691588"/>
    <w:rPr>
      <w:rFonts w:ascii="Times New Roman" w:hAnsi="Times New Roman" w:cs="Times New Roman"/>
    </w:rPr>
  </w:style>
  <w:style w:type="character" w:styleId="Collegamentoipertestuale">
    <w:name w:val="Hyperlink"/>
    <w:basedOn w:val="Carpredefinitoparagrafo"/>
    <w:uiPriority w:val="99"/>
    <w:unhideWhenUsed/>
    <w:rsid w:val="00B07409"/>
    <w:rPr>
      <w:color w:val="0563C1" w:themeColor="hyperlink"/>
      <w:u w:val="single"/>
    </w:rPr>
  </w:style>
  <w:style w:type="character" w:styleId="Menzionenonrisolta">
    <w:name w:val="Unresolved Mention"/>
    <w:basedOn w:val="Carpredefinitoparagrafo"/>
    <w:uiPriority w:val="99"/>
    <w:semiHidden/>
    <w:unhideWhenUsed/>
    <w:rsid w:val="00B074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255</TotalTime>
  <Pages>2</Pages>
  <Words>861</Words>
  <Characters>4913</Characters>
  <Application>Microsoft Office Word</Application>
  <DocSecurity>0</DocSecurity>
  <Lines>40</Lines>
  <Paragraphs>11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Riccardo Lamba</dc:creator>
  <cp:keywords/>
  <dc:description/>
  <cp:lastModifiedBy>Giovanni Lesa</cp:lastModifiedBy>
  <cp:revision>25</cp:revision>
  <dcterms:created xsi:type="dcterms:W3CDTF">2026-07-23T07:55:00Z</dcterms:created>
  <dcterms:modified xsi:type="dcterms:W3CDTF">2026-10-06T13:01:00Z</dcterms:modified>
</cp:coreProperties>
</file>